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2C39" w14:textId="53195DEE" w:rsidR="00AC61D5" w:rsidRDefault="00AC61D5" w:rsidP="00AC61D5">
      <w:pPr>
        <w:rPr>
          <w:rFonts w:ascii="Sto TT" w:hAnsi="Sto TT"/>
          <w:b/>
          <w:bCs/>
          <w:szCs w:val="20"/>
          <w:lang w:val="de-AT"/>
        </w:rPr>
      </w:pPr>
    </w:p>
    <w:p w14:paraId="09128844" w14:textId="1A42F2F8" w:rsidR="00AC61D5" w:rsidRPr="00143C5F" w:rsidRDefault="00AC61D5" w:rsidP="00AC61D5">
      <w:pPr>
        <w:rPr>
          <w:rFonts w:ascii="Sto TT" w:hAnsi="Sto TT"/>
          <w:i/>
          <w:iCs/>
          <w:szCs w:val="20"/>
          <w:lang w:val="de-AT"/>
        </w:rPr>
      </w:pPr>
      <w:r w:rsidRPr="00143C5F">
        <w:rPr>
          <w:rFonts w:ascii="Sto TT" w:hAnsi="Sto TT"/>
          <w:i/>
          <w:iCs/>
          <w:szCs w:val="20"/>
          <w:lang w:val="de-AT"/>
        </w:rPr>
        <w:t>Villach, 05.05.2026</w:t>
      </w:r>
    </w:p>
    <w:p w14:paraId="24A9B989" w14:textId="378C5BF2" w:rsidR="00AC61D5" w:rsidRPr="00AC61D5" w:rsidRDefault="00AC61D5" w:rsidP="00AC61D5">
      <w:pPr>
        <w:rPr>
          <w:rFonts w:ascii="Sto TT" w:hAnsi="Sto TT"/>
          <w:szCs w:val="20"/>
          <w:lang w:val="de-AT"/>
        </w:rPr>
      </w:pPr>
      <w:proofErr w:type="spellStart"/>
      <w:r w:rsidRPr="00AC61D5">
        <w:rPr>
          <w:rFonts w:ascii="Sto TT" w:hAnsi="Sto TT"/>
          <w:b/>
          <w:bCs/>
          <w:szCs w:val="20"/>
          <w:lang w:val="de-AT"/>
        </w:rPr>
        <w:t>StoAqua</w:t>
      </w:r>
      <w:proofErr w:type="spellEnd"/>
      <w:r w:rsidRPr="00AC61D5">
        <w:rPr>
          <w:rFonts w:ascii="Sto TT" w:hAnsi="Sto TT"/>
          <w:b/>
          <w:bCs/>
          <w:szCs w:val="20"/>
          <w:lang w:val="de-AT"/>
        </w:rPr>
        <w:t xml:space="preserve"> Lacke: Drei Lösungen für perfekte Oberflächen – effizient, sicher, vielseitig</w:t>
      </w:r>
    </w:p>
    <w:p w14:paraId="1E3F7737" w14:textId="77777777" w:rsidR="00AC61D5" w:rsidRPr="00AC61D5" w:rsidRDefault="00AC61D5" w:rsidP="00AC61D5">
      <w:pPr>
        <w:rPr>
          <w:rFonts w:ascii="Sto TT" w:hAnsi="Sto TT"/>
          <w:szCs w:val="20"/>
          <w:lang w:val="de-AT"/>
        </w:rPr>
      </w:pPr>
      <w:r w:rsidRPr="00AC61D5">
        <w:rPr>
          <w:rFonts w:ascii="Sto TT" w:hAnsi="Sto TT"/>
          <w:szCs w:val="20"/>
          <w:lang w:val="de-AT"/>
        </w:rPr>
        <w:t xml:space="preserve">Mit drei leistungsstarken, wasserbasierten Lacksystemen bietet Sto ein klar strukturiertes Portfolio für unterschiedlichste Anforderungen in der Beschichtung von Holz, Metall und mineralischen Untergründen. Ob hochwertige Oberflächen, transparente Versiegelungen oder extrem belastbare Beschichtungen – die </w:t>
      </w:r>
      <w:proofErr w:type="spellStart"/>
      <w:r w:rsidRPr="00AC61D5">
        <w:rPr>
          <w:rFonts w:ascii="Sto TT" w:hAnsi="Sto TT"/>
          <w:szCs w:val="20"/>
          <w:lang w:val="de-AT"/>
        </w:rPr>
        <w:t>StoAqua</w:t>
      </w:r>
      <w:proofErr w:type="spellEnd"/>
      <w:r w:rsidRPr="00AC61D5">
        <w:rPr>
          <w:rFonts w:ascii="Sto TT" w:hAnsi="Sto TT"/>
          <w:szCs w:val="20"/>
          <w:lang w:val="de-AT"/>
        </w:rPr>
        <w:t xml:space="preserve"> Lacke vereinen Verarbeitungsfreundlichkeit mit hoher technischer Performance.</w:t>
      </w:r>
    </w:p>
    <w:p w14:paraId="03CD4689" w14:textId="77777777" w:rsidR="00AC61D5" w:rsidRPr="00AC61D5" w:rsidRDefault="00AC61D5" w:rsidP="00AC61D5">
      <w:pPr>
        <w:rPr>
          <w:rFonts w:ascii="Sto TT" w:hAnsi="Sto TT"/>
          <w:szCs w:val="20"/>
          <w:lang w:val="de-AT"/>
        </w:rPr>
      </w:pPr>
      <w:proofErr w:type="spellStart"/>
      <w:r w:rsidRPr="00AC61D5">
        <w:rPr>
          <w:rFonts w:ascii="Sto TT" w:hAnsi="Sto TT"/>
          <w:b/>
          <w:bCs/>
          <w:szCs w:val="20"/>
          <w:lang w:val="de-AT"/>
        </w:rPr>
        <w:t>StoAqua</w:t>
      </w:r>
      <w:proofErr w:type="spellEnd"/>
      <w:r w:rsidRPr="00AC61D5">
        <w:rPr>
          <w:rFonts w:ascii="Sto TT" w:hAnsi="Sto TT"/>
          <w:b/>
          <w:bCs/>
          <w:szCs w:val="20"/>
          <w:lang w:val="de-AT"/>
        </w:rPr>
        <w:t xml:space="preserve"> Emaille PU</w:t>
      </w:r>
      <w:r w:rsidRPr="00AC61D5">
        <w:rPr>
          <w:rFonts w:ascii="Sto TT" w:hAnsi="Sto TT"/>
          <w:szCs w:val="20"/>
          <w:lang w:val="de-AT"/>
        </w:rPr>
        <w:t xml:space="preserve"> ist der vielseitige Allrounder für hochwertige, pigmentierte Lackierungen im Innen- und Außenbereich. Der wasserverdünnbare PU-Decklack überzeugt durch sehr gute Verlaufseigenschaften, hohe mechanische Beständigkeit und Blockfestigkeit. Er ist auf Holz, Metall und mineralischen Untergründen einsetzbar und bietet eine langlebige, vergilbungsfreie Oberfläche in matt, seidenglänzend oder glänzend. Zusätzlich erfüllt er die Anforderungen der EN 71-3 und ist damit speichel- und schweißecht.</w:t>
      </w:r>
    </w:p>
    <w:p w14:paraId="7517A92B" w14:textId="77777777" w:rsidR="00AC61D5" w:rsidRPr="00AC61D5" w:rsidRDefault="00AC61D5" w:rsidP="00AC61D5">
      <w:pPr>
        <w:rPr>
          <w:rFonts w:ascii="Sto TT" w:hAnsi="Sto TT"/>
          <w:szCs w:val="20"/>
          <w:lang w:val="de-AT"/>
        </w:rPr>
      </w:pPr>
      <w:proofErr w:type="spellStart"/>
      <w:r w:rsidRPr="00AC61D5">
        <w:rPr>
          <w:rFonts w:ascii="Sto TT" w:hAnsi="Sto TT"/>
          <w:b/>
          <w:bCs/>
          <w:szCs w:val="20"/>
          <w:lang w:val="de-AT"/>
        </w:rPr>
        <w:t>StoAqua</w:t>
      </w:r>
      <w:proofErr w:type="spellEnd"/>
      <w:r w:rsidRPr="00AC61D5">
        <w:rPr>
          <w:rFonts w:ascii="Sto TT" w:hAnsi="Sto TT"/>
          <w:b/>
          <w:bCs/>
          <w:szCs w:val="20"/>
          <w:lang w:val="de-AT"/>
        </w:rPr>
        <w:t xml:space="preserve"> </w:t>
      </w:r>
      <w:proofErr w:type="spellStart"/>
      <w:r w:rsidRPr="00AC61D5">
        <w:rPr>
          <w:rFonts w:ascii="Sto TT" w:hAnsi="Sto TT"/>
          <w:b/>
          <w:bCs/>
          <w:szCs w:val="20"/>
          <w:lang w:val="de-AT"/>
        </w:rPr>
        <w:t>Cristallack</w:t>
      </w:r>
      <w:proofErr w:type="spellEnd"/>
      <w:r w:rsidRPr="00AC61D5">
        <w:rPr>
          <w:rFonts w:ascii="Sto TT" w:hAnsi="Sto TT"/>
          <w:b/>
          <w:bCs/>
          <w:szCs w:val="20"/>
          <w:lang w:val="de-AT"/>
        </w:rPr>
        <w:t xml:space="preserve"> PU</w:t>
      </w:r>
      <w:r w:rsidRPr="00AC61D5">
        <w:rPr>
          <w:rFonts w:ascii="Sto TT" w:hAnsi="Sto TT"/>
          <w:szCs w:val="20"/>
          <w:lang w:val="de-AT"/>
        </w:rPr>
        <w:t xml:space="preserve"> wurde speziell für transparente Beschichtungen im Innenbereich entwickelt. Als Klarlack eignet er sich ideal zur Versiegelung von Holzbauteilen, Treppen und Parkettböden. Darüber hinaus kann er – insbesondere in matter Ausführung – auch als strapazierfähiger Schutzanstrich auf lasierten Holzflächen sowie auf Wand- und Deckenflächen eingesetzt werden. Der Lack ist blockfest, geruchsarm, schnell trocknend und beständig gegenüber haushaltsüblichen Reinigern.</w:t>
      </w:r>
    </w:p>
    <w:p w14:paraId="27C1C7B1" w14:textId="77777777" w:rsidR="00AC61D5" w:rsidRPr="00AC61D5" w:rsidRDefault="00AC61D5" w:rsidP="00AC61D5">
      <w:pPr>
        <w:rPr>
          <w:rFonts w:ascii="Sto TT" w:hAnsi="Sto TT"/>
          <w:szCs w:val="20"/>
          <w:lang w:val="de-AT"/>
        </w:rPr>
      </w:pPr>
      <w:r w:rsidRPr="00AC61D5">
        <w:rPr>
          <w:rFonts w:ascii="Sto TT" w:hAnsi="Sto TT"/>
          <w:szCs w:val="20"/>
          <w:lang w:val="de-AT"/>
        </w:rPr>
        <w:t xml:space="preserve">Für höchste Beanspruchung steht mit </w:t>
      </w:r>
      <w:proofErr w:type="spellStart"/>
      <w:r w:rsidRPr="00AC61D5">
        <w:rPr>
          <w:rFonts w:ascii="Sto TT" w:hAnsi="Sto TT"/>
          <w:b/>
          <w:bCs/>
          <w:szCs w:val="20"/>
          <w:lang w:val="de-AT"/>
        </w:rPr>
        <w:t>StoAqua</w:t>
      </w:r>
      <w:proofErr w:type="spellEnd"/>
      <w:r w:rsidRPr="00AC61D5">
        <w:rPr>
          <w:rFonts w:ascii="Sto TT" w:hAnsi="Sto TT"/>
          <w:b/>
          <w:bCs/>
          <w:szCs w:val="20"/>
          <w:lang w:val="de-AT"/>
        </w:rPr>
        <w:t xml:space="preserve"> 2K PU Seidenmatt</w:t>
      </w:r>
      <w:r w:rsidRPr="00AC61D5">
        <w:rPr>
          <w:rFonts w:ascii="Sto TT" w:hAnsi="Sto TT"/>
          <w:szCs w:val="20"/>
          <w:lang w:val="de-AT"/>
        </w:rPr>
        <w:t xml:space="preserve"> ein </w:t>
      </w:r>
      <w:proofErr w:type="spellStart"/>
      <w:r w:rsidRPr="00AC61D5">
        <w:rPr>
          <w:rFonts w:ascii="Sto TT" w:hAnsi="Sto TT"/>
          <w:szCs w:val="20"/>
          <w:lang w:val="de-AT"/>
        </w:rPr>
        <w:t>zweikomponentiger</w:t>
      </w:r>
      <w:proofErr w:type="spellEnd"/>
      <w:r w:rsidRPr="00AC61D5">
        <w:rPr>
          <w:rFonts w:ascii="Sto TT" w:hAnsi="Sto TT"/>
          <w:szCs w:val="20"/>
          <w:lang w:val="de-AT"/>
        </w:rPr>
        <w:t>, wasserbasierter Lack zur Verfügung. Er eignet sich als pigmentierter Decklack für nahezu alle Untergründe im Innen- und Außenbereich und überzeugt durch maximale mechanische und chemische Beständigkeit. Trotz seiner Leistungsfähigkeit ist das System frei von Isocyanaten, geruchsarm und bietet eine praxisgerechte Verarbeitungszeit von bis zu sechs Stunden. Das Ergebnis ist eine seidenmatte, äußerst robuste Oberfläche mit sehr guter Reinigungsfähigkeit.</w:t>
      </w:r>
    </w:p>
    <w:p w14:paraId="50168886" w14:textId="5F32B666" w:rsidR="00AC61D5" w:rsidRPr="00AC61D5" w:rsidRDefault="00AC61D5" w:rsidP="00AC61D5">
      <w:pPr>
        <w:rPr>
          <w:rFonts w:ascii="Sto TT" w:hAnsi="Sto TT"/>
          <w:szCs w:val="20"/>
          <w:lang w:val="de-AT"/>
        </w:rPr>
      </w:pPr>
      <w:r w:rsidRPr="00AC61D5">
        <w:rPr>
          <w:rFonts w:ascii="Sto TT" w:hAnsi="Sto TT"/>
          <w:b/>
          <w:bCs/>
          <w:szCs w:val="20"/>
          <w:lang w:val="de-AT"/>
        </w:rPr>
        <w:t>Ihr Vorteil in der Praxis:</w:t>
      </w:r>
      <w:r w:rsidRPr="00AC61D5">
        <w:rPr>
          <w:rFonts w:ascii="Sto TT" w:hAnsi="Sto TT"/>
          <w:szCs w:val="20"/>
          <w:lang w:val="de-AT"/>
        </w:rPr>
        <w:t xml:space="preserve"> Drei </w:t>
      </w:r>
      <w:r>
        <w:rPr>
          <w:rFonts w:ascii="Sto TT" w:hAnsi="Sto TT"/>
          <w:szCs w:val="20"/>
          <w:lang w:val="de-AT"/>
        </w:rPr>
        <w:t>Produktlösungen für jede Anforderung</w:t>
      </w:r>
      <w:r w:rsidRPr="00AC61D5">
        <w:rPr>
          <w:rFonts w:ascii="Sto TT" w:hAnsi="Sto TT"/>
          <w:szCs w:val="20"/>
          <w:lang w:val="de-AT"/>
        </w:rPr>
        <w:t>, einfache Verarbeitung, zuverlässige Ergebnisse und langlebige Oberflächen – für effiziente Abläufe auf der Baustelle und zufriedene Kunden.</w:t>
      </w:r>
    </w:p>
    <w:p w14:paraId="3D9C20AE" w14:textId="3750B124" w:rsidR="00E376AB" w:rsidRPr="00B26B66" w:rsidRDefault="00E376AB">
      <w:pPr>
        <w:rPr>
          <w:rFonts w:ascii="Sto TT" w:hAnsi="Sto TT"/>
          <w:b/>
          <w:bCs/>
          <w:szCs w:val="20"/>
          <w:lang w:val="de-AT"/>
        </w:rPr>
      </w:pPr>
      <w:r w:rsidRPr="00E376AB">
        <w:rPr>
          <w:rFonts w:ascii="Sto TT" w:hAnsi="Sto TT"/>
          <w:noProof/>
          <w:szCs w:val="20"/>
          <w:lang w:val="de-AT"/>
        </w:rPr>
        <w:drawing>
          <wp:anchor distT="0" distB="0" distL="114300" distR="114300" simplePos="0" relativeHeight="251659264" behindDoc="0" locked="0" layoutInCell="1" allowOverlap="1" wp14:anchorId="7B51A271" wp14:editId="4C288D75">
            <wp:simplePos x="0" y="0"/>
            <wp:positionH relativeFrom="margin">
              <wp:align>left</wp:align>
            </wp:positionH>
            <wp:positionV relativeFrom="paragraph">
              <wp:posOffset>407091</wp:posOffset>
            </wp:positionV>
            <wp:extent cx="1645920" cy="1127125"/>
            <wp:effectExtent l="0" t="0" r="0" b="0"/>
            <wp:wrapNone/>
            <wp:docPr id="13201488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148814" name=""/>
                    <pic:cNvPicPr/>
                  </pic:nvPicPr>
                  <pic:blipFill>
                    <a:blip r:embed="rId6">
                      <a:extLst>
                        <a:ext uri="{28A0092B-C50C-407E-A947-70E740481C1C}">
                          <a14:useLocalDpi xmlns:a14="http://schemas.microsoft.com/office/drawing/2010/main" val="0"/>
                        </a:ext>
                      </a:extLst>
                    </a:blip>
                    <a:stretch>
                      <a:fillRect/>
                    </a:stretch>
                  </pic:blipFill>
                  <pic:spPr>
                    <a:xfrm>
                      <a:off x="0" y="0"/>
                      <a:ext cx="1645920" cy="1127125"/>
                    </a:xfrm>
                    <a:prstGeom prst="rect">
                      <a:avLst/>
                    </a:prstGeom>
                  </pic:spPr>
                </pic:pic>
              </a:graphicData>
            </a:graphic>
          </wp:anchor>
        </w:drawing>
      </w:r>
      <w:r w:rsidR="00B33514">
        <w:rPr>
          <w:rFonts w:ascii="Sto TT" w:hAnsi="Sto TT"/>
          <w:b/>
          <w:bCs/>
          <w:szCs w:val="20"/>
          <w:lang w:val="de-AT"/>
        </w:rPr>
        <w:br/>
      </w:r>
      <w:r w:rsidR="00B33514" w:rsidRPr="00B26B66">
        <w:rPr>
          <w:rFonts w:ascii="Sto TT" w:hAnsi="Sto TT"/>
          <w:b/>
          <w:bCs/>
          <w:szCs w:val="20"/>
          <w:lang w:val="de-AT"/>
        </w:rPr>
        <w:t>Bildquelle</w:t>
      </w:r>
      <w:r w:rsidR="00B26B66">
        <w:rPr>
          <w:rFonts w:ascii="Sto TT" w:hAnsi="Sto TT"/>
          <w:b/>
          <w:bCs/>
          <w:szCs w:val="20"/>
          <w:lang w:val="de-AT"/>
        </w:rPr>
        <w:t>n</w:t>
      </w:r>
      <w:r w:rsidR="00B33514" w:rsidRPr="00B26B66">
        <w:rPr>
          <w:rFonts w:ascii="Sto TT" w:hAnsi="Sto TT"/>
          <w:b/>
          <w:bCs/>
          <w:szCs w:val="20"/>
          <w:lang w:val="de-AT"/>
        </w:rPr>
        <w:t xml:space="preserve">: </w:t>
      </w:r>
    </w:p>
    <w:p w14:paraId="44172C11" w14:textId="27146BE3" w:rsidR="00E376AB" w:rsidRDefault="00E376AB">
      <w:pPr>
        <w:rPr>
          <w:rFonts w:ascii="Sto TT" w:hAnsi="Sto TT"/>
          <w:szCs w:val="20"/>
          <w:lang w:val="de-AT"/>
        </w:rPr>
      </w:pPr>
    </w:p>
    <w:p w14:paraId="1C212007" w14:textId="77777777" w:rsidR="00E376AB" w:rsidRDefault="00E376AB">
      <w:pPr>
        <w:rPr>
          <w:rFonts w:ascii="Sto TT" w:hAnsi="Sto TT"/>
          <w:szCs w:val="20"/>
          <w:lang w:val="de-AT"/>
        </w:rPr>
      </w:pPr>
    </w:p>
    <w:p w14:paraId="67B34439" w14:textId="77777777" w:rsidR="00E376AB" w:rsidRDefault="00E376AB">
      <w:pPr>
        <w:rPr>
          <w:rFonts w:ascii="Sto TT" w:hAnsi="Sto TT"/>
          <w:szCs w:val="20"/>
          <w:lang w:val="de-AT"/>
        </w:rPr>
      </w:pPr>
    </w:p>
    <w:p w14:paraId="46350909" w14:textId="373396C9" w:rsidR="00B82C18" w:rsidRDefault="00D43DB6">
      <w:pPr>
        <w:rPr>
          <w:rFonts w:ascii="Sto TT" w:hAnsi="Sto TT"/>
          <w:szCs w:val="20"/>
          <w:lang w:val="de-AT"/>
        </w:rPr>
      </w:pPr>
      <w:r>
        <w:rPr>
          <w:rFonts w:ascii="Sto TT" w:hAnsi="Sto TT"/>
          <w:szCs w:val="20"/>
          <w:lang w:val="de-AT"/>
        </w:rPr>
        <w:br/>
      </w:r>
      <w:r>
        <w:rPr>
          <w:rFonts w:ascii="Sto TT" w:hAnsi="Sto TT"/>
          <w:szCs w:val="20"/>
          <w:lang w:val="de-AT"/>
        </w:rPr>
        <w:br/>
      </w:r>
      <w:proofErr w:type="spellStart"/>
      <w:r w:rsidR="00B82C18" w:rsidRPr="00666C15">
        <w:rPr>
          <w:rFonts w:ascii="Sto TT" w:hAnsi="Sto TT"/>
          <w:b/>
          <w:bCs/>
          <w:szCs w:val="20"/>
          <w:lang w:val="de-AT"/>
        </w:rPr>
        <w:t>StoAqua</w:t>
      </w:r>
      <w:proofErr w:type="spellEnd"/>
      <w:r w:rsidR="00B82C18" w:rsidRPr="00666C15">
        <w:rPr>
          <w:rFonts w:ascii="Sto TT" w:hAnsi="Sto TT"/>
          <w:b/>
          <w:bCs/>
          <w:szCs w:val="20"/>
          <w:lang w:val="de-AT"/>
        </w:rPr>
        <w:t xml:space="preserve"> 2K PU Seidenmatt</w:t>
      </w:r>
      <w:r w:rsidR="00B82C18" w:rsidRPr="00B82C18">
        <w:rPr>
          <w:rFonts w:ascii="Sto TT" w:hAnsi="Sto TT"/>
          <w:szCs w:val="20"/>
          <w:lang w:val="de-AT"/>
        </w:rPr>
        <w:t>_AdobeStock_238354015_marvic</w:t>
      </w:r>
      <w:r w:rsidR="00666C15">
        <w:rPr>
          <w:rFonts w:ascii="Sto TT" w:hAnsi="Sto TT"/>
          <w:szCs w:val="20"/>
          <w:lang w:val="de-AT"/>
        </w:rPr>
        <w:t>.jpg</w:t>
      </w:r>
    </w:p>
    <w:p w14:paraId="37965653" w14:textId="77777777" w:rsidR="00B26B66" w:rsidRDefault="00B26B66">
      <w:pPr>
        <w:rPr>
          <w:rFonts w:ascii="Sto TT" w:hAnsi="Sto TT"/>
          <w:szCs w:val="20"/>
          <w:lang w:val="de-AT"/>
        </w:rPr>
      </w:pPr>
    </w:p>
    <w:p w14:paraId="7587B214" w14:textId="77777777" w:rsidR="002B779F" w:rsidRDefault="002B779F">
      <w:pPr>
        <w:rPr>
          <w:rFonts w:ascii="Sto TT" w:hAnsi="Sto TT"/>
          <w:szCs w:val="20"/>
          <w:lang w:val="de-AT"/>
        </w:rPr>
      </w:pPr>
    </w:p>
    <w:p w14:paraId="138F346A" w14:textId="77777777" w:rsidR="002B779F" w:rsidRDefault="002B779F">
      <w:pPr>
        <w:rPr>
          <w:rFonts w:ascii="Sto TT" w:hAnsi="Sto TT"/>
          <w:szCs w:val="20"/>
          <w:lang w:val="de-AT"/>
        </w:rPr>
      </w:pPr>
    </w:p>
    <w:p w14:paraId="024F7AF9" w14:textId="71C7A844" w:rsidR="00B26B66" w:rsidRDefault="005D7A00">
      <w:pPr>
        <w:rPr>
          <w:rFonts w:ascii="Sto TT" w:hAnsi="Sto TT"/>
          <w:szCs w:val="20"/>
          <w:lang w:val="de-AT"/>
        </w:rPr>
      </w:pPr>
      <w:r w:rsidRPr="005D7A00">
        <w:rPr>
          <w:rFonts w:ascii="Sto TT" w:hAnsi="Sto TT"/>
          <w:noProof/>
          <w:szCs w:val="20"/>
          <w:lang w:val="de-AT"/>
        </w:rPr>
        <w:drawing>
          <wp:inline distT="0" distB="0" distL="0" distR="0" wp14:anchorId="3E1E862E" wp14:editId="23CF5287">
            <wp:extent cx="1956021" cy="1142152"/>
            <wp:effectExtent l="0" t="0" r="6350" b="1270"/>
            <wp:docPr id="17133809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80913" name=""/>
                    <pic:cNvPicPr/>
                  </pic:nvPicPr>
                  <pic:blipFill>
                    <a:blip r:embed="rId7"/>
                    <a:stretch>
                      <a:fillRect/>
                    </a:stretch>
                  </pic:blipFill>
                  <pic:spPr>
                    <a:xfrm>
                      <a:off x="0" y="0"/>
                      <a:ext cx="1965913" cy="1147928"/>
                    </a:xfrm>
                    <a:prstGeom prst="rect">
                      <a:avLst/>
                    </a:prstGeom>
                  </pic:spPr>
                </pic:pic>
              </a:graphicData>
            </a:graphic>
          </wp:inline>
        </w:drawing>
      </w:r>
    </w:p>
    <w:p w14:paraId="6C99DFBF" w14:textId="786AEF71" w:rsidR="00B26B66" w:rsidRPr="00666C15" w:rsidRDefault="00B26B66">
      <w:pPr>
        <w:rPr>
          <w:rFonts w:ascii="Sto TT" w:hAnsi="Sto TT"/>
          <w:szCs w:val="20"/>
          <w:lang w:val="de-AT"/>
        </w:rPr>
      </w:pPr>
      <w:proofErr w:type="spellStart"/>
      <w:r w:rsidRPr="00666C15">
        <w:rPr>
          <w:rFonts w:ascii="Sto TT" w:hAnsi="Sto TT"/>
          <w:b/>
          <w:bCs/>
          <w:szCs w:val="20"/>
          <w:lang w:val="de-AT"/>
        </w:rPr>
        <w:t>StoAqua</w:t>
      </w:r>
      <w:proofErr w:type="spellEnd"/>
      <w:r w:rsidRPr="00666C15">
        <w:rPr>
          <w:rFonts w:ascii="Sto TT" w:hAnsi="Sto TT"/>
          <w:b/>
          <w:bCs/>
          <w:szCs w:val="20"/>
          <w:lang w:val="de-AT"/>
        </w:rPr>
        <w:t xml:space="preserve"> </w:t>
      </w:r>
      <w:proofErr w:type="spellStart"/>
      <w:r w:rsidRPr="00666C15">
        <w:rPr>
          <w:rFonts w:ascii="Sto TT" w:hAnsi="Sto TT"/>
          <w:b/>
          <w:bCs/>
          <w:szCs w:val="20"/>
          <w:lang w:val="de-AT"/>
        </w:rPr>
        <w:t>Cristallack</w:t>
      </w:r>
      <w:proofErr w:type="spellEnd"/>
      <w:r w:rsidRPr="00666C15">
        <w:rPr>
          <w:rFonts w:ascii="Sto TT" w:hAnsi="Sto TT"/>
          <w:b/>
          <w:bCs/>
          <w:szCs w:val="20"/>
          <w:lang w:val="de-AT"/>
        </w:rPr>
        <w:t xml:space="preserve"> PU</w:t>
      </w:r>
      <w:r w:rsidRPr="00666C15">
        <w:rPr>
          <w:rFonts w:ascii="Sto TT" w:hAnsi="Sto TT"/>
          <w:szCs w:val="20"/>
          <w:lang w:val="de-AT"/>
        </w:rPr>
        <w:t>_AdobeStock_794911132_Irina Ukrainets</w:t>
      </w:r>
      <w:r w:rsidR="00666C15" w:rsidRPr="00666C15">
        <w:rPr>
          <w:rFonts w:ascii="Sto TT" w:hAnsi="Sto TT"/>
          <w:szCs w:val="20"/>
          <w:lang w:val="de-AT"/>
        </w:rPr>
        <w:t>.j</w:t>
      </w:r>
      <w:r w:rsidR="00666C15">
        <w:rPr>
          <w:rFonts w:ascii="Sto TT" w:hAnsi="Sto TT"/>
          <w:szCs w:val="20"/>
          <w:lang w:val="de-AT"/>
        </w:rPr>
        <w:t>pg</w:t>
      </w:r>
    </w:p>
    <w:p w14:paraId="3EDD4260" w14:textId="77777777" w:rsidR="005D7A00" w:rsidRPr="00666C15" w:rsidRDefault="005D7A00">
      <w:pPr>
        <w:rPr>
          <w:rFonts w:ascii="Sto TT" w:hAnsi="Sto TT"/>
          <w:szCs w:val="20"/>
          <w:lang w:val="de-AT"/>
        </w:rPr>
      </w:pPr>
    </w:p>
    <w:p w14:paraId="71E681F8" w14:textId="1E080099" w:rsidR="005D7A00" w:rsidRPr="00B26B66" w:rsidRDefault="00666C15">
      <w:pPr>
        <w:rPr>
          <w:rFonts w:ascii="Sto TT" w:hAnsi="Sto TT"/>
          <w:szCs w:val="20"/>
          <w:lang w:val="en-US"/>
        </w:rPr>
      </w:pPr>
      <w:r w:rsidRPr="00666C15">
        <w:rPr>
          <w:rFonts w:ascii="Sto TT" w:hAnsi="Sto TT"/>
          <w:noProof/>
          <w:szCs w:val="20"/>
          <w:lang w:val="en-US"/>
        </w:rPr>
        <w:drawing>
          <wp:inline distT="0" distB="0" distL="0" distR="0" wp14:anchorId="340BAFBF" wp14:editId="38999D47">
            <wp:extent cx="1958128" cy="1113183"/>
            <wp:effectExtent l="0" t="0" r="4445" b="0"/>
            <wp:docPr id="16500444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044495" name=""/>
                    <pic:cNvPicPr/>
                  </pic:nvPicPr>
                  <pic:blipFill>
                    <a:blip r:embed="rId8"/>
                    <a:stretch>
                      <a:fillRect/>
                    </a:stretch>
                  </pic:blipFill>
                  <pic:spPr>
                    <a:xfrm>
                      <a:off x="0" y="0"/>
                      <a:ext cx="1963589" cy="1116288"/>
                    </a:xfrm>
                    <a:prstGeom prst="rect">
                      <a:avLst/>
                    </a:prstGeom>
                  </pic:spPr>
                </pic:pic>
              </a:graphicData>
            </a:graphic>
          </wp:inline>
        </w:drawing>
      </w:r>
    </w:p>
    <w:p w14:paraId="0BCC3C8D" w14:textId="04AE2F08" w:rsidR="00B82C18" w:rsidRPr="00666C15" w:rsidRDefault="00666C15">
      <w:pPr>
        <w:rPr>
          <w:rFonts w:ascii="Sto TT" w:hAnsi="Sto TT"/>
          <w:szCs w:val="20"/>
          <w:lang w:val="en-US"/>
        </w:rPr>
      </w:pPr>
      <w:proofErr w:type="spellStart"/>
      <w:r w:rsidRPr="00666C15">
        <w:rPr>
          <w:rFonts w:ascii="Sto TT" w:hAnsi="Sto TT"/>
          <w:b/>
          <w:bCs/>
          <w:szCs w:val="20"/>
          <w:lang w:val="en-US"/>
        </w:rPr>
        <w:t>StoAqua</w:t>
      </w:r>
      <w:proofErr w:type="spellEnd"/>
      <w:r w:rsidRPr="00666C15">
        <w:rPr>
          <w:rFonts w:ascii="Sto TT" w:hAnsi="Sto TT"/>
          <w:b/>
          <w:bCs/>
          <w:szCs w:val="20"/>
          <w:lang w:val="en-US"/>
        </w:rPr>
        <w:t xml:space="preserve"> </w:t>
      </w:r>
      <w:proofErr w:type="spellStart"/>
      <w:r w:rsidRPr="00666C15">
        <w:rPr>
          <w:rFonts w:ascii="Sto TT" w:hAnsi="Sto TT"/>
          <w:b/>
          <w:bCs/>
          <w:szCs w:val="20"/>
          <w:lang w:val="en-US"/>
        </w:rPr>
        <w:t>Emaille</w:t>
      </w:r>
      <w:proofErr w:type="spellEnd"/>
      <w:r w:rsidRPr="00666C15">
        <w:rPr>
          <w:rFonts w:ascii="Sto TT" w:hAnsi="Sto TT"/>
          <w:b/>
          <w:bCs/>
          <w:szCs w:val="20"/>
          <w:lang w:val="en-US"/>
        </w:rPr>
        <w:t xml:space="preserve"> PU</w:t>
      </w:r>
      <w:r w:rsidRPr="00666C15">
        <w:rPr>
          <w:rFonts w:ascii="Sto TT" w:hAnsi="Sto TT"/>
          <w:szCs w:val="20"/>
          <w:lang w:val="en-US"/>
        </w:rPr>
        <w:t>_AdobeStock_1155251767_Haider.jpg</w:t>
      </w:r>
    </w:p>
    <w:p w14:paraId="400BE520" w14:textId="7BA88A3D" w:rsidR="00B33514" w:rsidRPr="00666C15" w:rsidRDefault="00B33514">
      <w:pPr>
        <w:rPr>
          <w:rFonts w:ascii="Sto TT" w:hAnsi="Sto TT"/>
          <w:szCs w:val="20"/>
          <w:lang w:val="en-US"/>
        </w:rPr>
      </w:pPr>
      <w:r w:rsidRPr="00666C15">
        <w:rPr>
          <w:rFonts w:ascii="Sto TT" w:hAnsi="Sto TT"/>
          <w:szCs w:val="20"/>
          <w:lang w:val="en-US"/>
        </w:rPr>
        <w:br/>
      </w:r>
    </w:p>
    <w:sectPr w:rsidR="00B33514" w:rsidRPr="00666C15" w:rsidSect="00B33514">
      <w:headerReference w:type="default" r:id="rId9"/>
      <w:pgSz w:w="11906" w:h="16838"/>
      <w:pgMar w:top="1440" w:right="368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1D4C5" w14:textId="77777777" w:rsidR="00666C15" w:rsidRDefault="00666C15" w:rsidP="00666C15">
      <w:pPr>
        <w:spacing w:after="0" w:line="240" w:lineRule="auto"/>
      </w:pPr>
      <w:r>
        <w:separator/>
      </w:r>
    </w:p>
  </w:endnote>
  <w:endnote w:type="continuationSeparator" w:id="0">
    <w:p w14:paraId="6763F17F" w14:textId="77777777" w:rsidR="00666C15" w:rsidRDefault="00666C15" w:rsidP="00666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to TT">
    <w:panose1 w:val="02010504010101010104"/>
    <w:charset w:val="00"/>
    <w:family w:val="swiss"/>
    <w:pitch w:val="variable"/>
    <w:sig w:usb0="A00002FF" w:usb1="4000A06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4BC00" w14:textId="77777777" w:rsidR="00666C15" w:rsidRDefault="00666C15" w:rsidP="00666C15">
      <w:pPr>
        <w:spacing w:after="0" w:line="240" w:lineRule="auto"/>
      </w:pPr>
      <w:r>
        <w:separator/>
      </w:r>
    </w:p>
  </w:footnote>
  <w:footnote w:type="continuationSeparator" w:id="0">
    <w:p w14:paraId="208DA54F" w14:textId="77777777" w:rsidR="00666C15" w:rsidRDefault="00666C15" w:rsidP="00666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B18D" w14:textId="639288B4" w:rsidR="00666C15" w:rsidRDefault="00666C15">
    <w:pPr>
      <w:pStyle w:val="Kopfzeile"/>
    </w:pPr>
    <w:r>
      <w:rPr>
        <w:rFonts w:ascii="Sto TT" w:hAnsi="Sto TT"/>
        <w:b/>
        <w:bCs/>
        <w:noProof/>
        <w:szCs w:val="20"/>
        <w:lang w:val="de-AT"/>
      </w:rPr>
      <w:drawing>
        <wp:anchor distT="0" distB="0" distL="114300" distR="114300" simplePos="0" relativeHeight="251659264" behindDoc="0" locked="0" layoutInCell="1" allowOverlap="1" wp14:anchorId="07935BAD" wp14:editId="6978C6E0">
          <wp:simplePos x="0" y="0"/>
          <wp:positionH relativeFrom="rightMargin">
            <wp:align>left</wp:align>
          </wp:positionH>
          <wp:positionV relativeFrom="paragraph">
            <wp:posOffset>23219</wp:posOffset>
          </wp:positionV>
          <wp:extent cx="1576240" cy="445273"/>
          <wp:effectExtent l="0" t="0" r="5080" b="0"/>
          <wp:wrapNone/>
          <wp:docPr id="8280430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3004" name="Grafik 82804300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6240" cy="445273"/>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1D5"/>
    <w:rsid w:val="00143C5F"/>
    <w:rsid w:val="001D0A70"/>
    <w:rsid w:val="002259A1"/>
    <w:rsid w:val="002B779F"/>
    <w:rsid w:val="003D210F"/>
    <w:rsid w:val="005D7A00"/>
    <w:rsid w:val="00666C15"/>
    <w:rsid w:val="007104F8"/>
    <w:rsid w:val="00740494"/>
    <w:rsid w:val="00AC61D5"/>
    <w:rsid w:val="00AC669A"/>
    <w:rsid w:val="00B26B66"/>
    <w:rsid w:val="00B33514"/>
    <w:rsid w:val="00B82C18"/>
    <w:rsid w:val="00D43DB6"/>
    <w:rsid w:val="00E376AB"/>
    <w:rsid w:val="00ED59C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9E112"/>
  <w15:chartTrackingRefBased/>
  <w15:docId w15:val="{7B73FCAA-388C-47B8-BAE7-27BC46B5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kern w:val="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25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25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259A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259A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259A1"/>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259A1"/>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259A1"/>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259A1"/>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259A1"/>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259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259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259A1"/>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259A1"/>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259A1"/>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259A1"/>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259A1"/>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259A1"/>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259A1"/>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225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259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259A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259A1"/>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2259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259A1"/>
    <w:rPr>
      <w:i/>
      <w:iCs/>
      <w:color w:val="404040" w:themeColor="text1" w:themeTint="BF"/>
    </w:rPr>
  </w:style>
  <w:style w:type="paragraph" w:styleId="Listenabsatz">
    <w:name w:val="List Paragraph"/>
    <w:basedOn w:val="Standard"/>
    <w:uiPriority w:val="34"/>
    <w:qFormat/>
    <w:rsid w:val="002259A1"/>
    <w:pPr>
      <w:ind w:left="720"/>
      <w:contextualSpacing/>
    </w:pPr>
  </w:style>
  <w:style w:type="character" w:styleId="IntensiveHervorhebung">
    <w:name w:val="Intense Emphasis"/>
    <w:basedOn w:val="Absatz-Standardschriftart"/>
    <w:uiPriority w:val="21"/>
    <w:qFormat/>
    <w:rsid w:val="002259A1"/>
    <w:rPr>
      <w:i/>
      <w:iCs/>
      <w:color w:val="0F4761" w:themeColor="accent1" w:themeShade="BF"/>
    </w:rPr>
  </w:style>
  <w:style w:type="paragraph" w:styleId="IntensivesZitat">
    <w:name w:val="Intense Quote"/>
    <w:basedOn w:val="Standard"/>
    <w:next w:val="Standard"/>
    <w:link w:val="IntensivesZitatZchn"/>
    <w:uiPriority w:val="30"/>
    <w:qFormat/>
    <w:rsid w:val="00225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259A1"/>
    <w:rPr>
      <w:i/>
      <w:iCs/>
      <w:color w:val="0F4761" w:themeColor="accent1" w:themeShade="BF"/>
    </w:rPr>
  </w:style>
  <w:style w:type="character" w:styleId="IntensiverVerweis">
    <w:name w:val="Intense Reference"/>
    <w:basedOn w:val="Absatz-Standardschriftart"/>
    <w:uiPriority w:val="32"/>
    <w:qFormat/>
    <w:rsid w:val="002259A1"/>
    <w:rPr>
      <w:b/>
      <w:bCs/>
      <w:smallCaps/>
      <w:color w:val="0F4761" w:themeColor="accent1" w:themeShade="BF"/>
      <w:spacing w:val="5"/>
    </w:rPr>
  </w:style>
  <w:style w:type="paragraph" w:styleId="Kopfzeile">
    <w:name w:val="header"/>
    <w:basedOn w:val="Standard"/>
    <w:link w:val="KopfzeileZchn"/>
    <w:uiPriority w:val="99"/>
    <w:unhideWhenUsed/>
    <w:rsid w:val="00666C15"/>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666C15"/>
  </w:style>
  <w:style w:type="paragraph" w:styleId="Fuzeile">
    <w:name w:val="footer"/>
    <w:basedOn w:val="Standard"/>
    <w:link w:val="FuzeileZchn"/>
    <w:uiPriority w:val="99"/>
    <w:unhideWhenUsed/>
    <w:rsid w:val="00666C1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666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tif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d8cad6c-9ab5-4995-adbc-1936d45cc877}" enabled="1" method="Standard" siteId="{9f6513af-b5bf-4193-ba55-a22f3f08301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Stroitz</dc:creator>
  <cp:keywords/>
  <dc:description/>
  <cp:lastModifiedBy>Sabine Stroitz</cp:lastModifiedBy>
  <cp:revision>2</cp:revision>
  <dcterms:created xsi:type="dcterms:W3CDTF">2026-05-06T08:19:00Z</dcterms:created>
  <dcterms:modified xsi:type="dcterms:W3CDTF">2026-05-06T08:19:00Z</dcterms:modified>
</cp:coreProperties>
</file>